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7676" w14:textId="0E4782DD" w:rsidR="00DA0BDF" w:rsidRPr="00BF6887" w:rsidRDefault="00680491" w:rsidP="00BF688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BF6887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BC1321" w:rsidRPr="00BF6887">
        <w:rPr>
          <w:rFonts w:ascii="Open Sans" w:hAnsi="Open Sans" w:cs="Open Sans"/>
          <w:color w:val="auto"/>
          <w:sz w:val="22"/>
          <w:szCs w:val="22"/>
        </w:rPr>
        <w:t>5</w:t>
      </w:r>
      <w:r w:rsidR="007874E3" w:rsidRPr="00BF6887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160E" w:rsidRPr="00BF6887">
        <w:rPr>
          <w:rFonts w:ascii="Open Sans" w:hAnsi="Open Sans" w:cs="Open Sans"/>
          <w:color w:val="auto"/>
          <w:sz w:val="22"/>
          <w:szCs w:val="22"/>
        </w:rPr>
        <w:t>do Regulaminu</w:t>
      </w:r>
      <w:r w:rsidR="00F00440" w:rsidRPr="00BF6887">
        <w:rPr>
          <w:rFonts w:ascii="Open Sans" w:hAnsi="Open Sans" w:cs="Open Sans"/>
          <w:color w:val="auto"/>
          <w:sz w:val="22"/>
          <w:szCs w:val="22"/>
        </w:rPr>
        <w:br/>
      </w:r>
      <w:r w:rsidR="00F00440">
        <w:rPr>
          <w:rFonts w:ascii="Open Sans" w:hAnsi="Open Sans" w:cs="Open Sans"/>
          <w:sz w:val="22"/>
          <w:szCs w:val="22"/>
        </w:rPr>
        <w:br/>
      </w:r>
      <w:r w:rsidR="00F94850" w:rsidRPr="00BF6887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K</w:t>
      </w:r>
      <w:r w:rsidR="00E67FE4" w:rsidRPr="00BF6887">
        <w:rPr>
          <w:rFonts w:ascii="Open Sans" w:eastAsia="Calibri" w:hAnsi="Open Sans" w:cs="Open Sans"/>
          <w:b/>
          <w:bCs/>
          <w:color w:val="auto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B30D56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B30D56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B30D56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B30D56">
        <w:rPr>
          <w:rFonts w:ascii="Open Sans" w:hAnsi="Open Sans" w:cs="Open Sans"/>
          <w:bCs/>
          <w:sz w:val="22"/>
          <w:szCs w:val="22"/>
        </w:rPr>
        <w:t xml:space="preserve"> </w:t>
      </w:r>
      <w:r w:rsidRPr="00B30D56">
        <w:rPr>
          <w:rFonts w:ascii="Open Sans" w:hAnsi="Open Sans" w:cs="Open Sans"/>
          <w:bCs/>
          <w:sz w:val="22"/>
          <w:szCs w:val="22"/>
        </w:rPr>
        <w:t>w</w:t>
      </w:r>
      <w:r w:rsidR="0052160E" w:rsidRPr="00B30D56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B30D56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B30D56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B30D56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B30D56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2C721756" w14:textId="77777777" w:rsidR="00A627EB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w</w:t>
      </w:r>
      <w:r w:rsidR="00634B36" w:rsidRPr="00B30D56">
        <w:rPr>
          <w:rFonts w:ascii="Open Sans" w:hAnsi="Open Sans" w:cs="Open Sans"/>
          <w:sz w:val="22"/>
          <w:szCs w:val="22"/>
        </w:rPr>
        <w:t>artości niematerialne i prawne;</w:t>
      </w:r>
    </w:p>
    <w:p w14:paraId="2FF60F8A" w14:textId="77777777" w:rsidR="00634B36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</w:t>
      </w:r>
      <w:r w:rsidR="00634B36" w:rsidRPr="00B30D56">
        <w:rPr>
          <w:rFonts w:ascii="Open Sans" w:hAnsi="Open Sans" w:cs="Open Sans"/>
          <w:sz w:val="22"/>
          <w:szCs w:val="22"/>
        </w:rPr>
        <w:t>odatki i opłaty</w:t>
      </w:r>
      <w:r w:rsidRPr="00B30D56">
        <w:rPr>
          <w:rFonts w:ascii="Open Sans" w:hAnsi="Open Sans" w:cs="Open Sans"/>
          <w:sz w:val="22"/>
          <w:szCs w:val="22"/>
        </w:rPr>
        <w:t>;</w:t>
      </w:r>
    </w:p>
    <w:p w14:paraId="2E156E72" w14:textId="4E7FDDA8" w:rsidR="00392D46" w:rsidRDefault="00F81B54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środki trwałe / dostawy </w:t>
      </w:r>
    </w:p>
    <w:p w14:paraId="29ED3738" w14:textId="0CCF1EA9" w:rsidR="00F81B54" w:rsidRDefault="00F81B54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dostawy (inne niż środki trwałe)</w:t>
      </w:r>
    </w:p>
    <w:p w14:paraId="661F64E5" w14:textId="1ED009D2" w:rsidR="00A627EB" w:rsidRPr="00B30D56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personel projektu</w:t>
      </w:r>
      <w:r w:rsidR="002621E1" w:rsidRPr="00B30D56">
        <w:rPr>
          <w:rFonts w:ascii="Open Sans" w:hAnsi="Open Sans" w:cs="Open Sans"/>
          <w:sz w:val="22"/>
          <w:szCs w:val="22"/>
        </w:rPr>
        <w:t>;</w:t>
      </w:r>
    </w:p>
    <w:p w14:paraId="5D6E82ED" w14:textId="77777777" w:rsidR="0052160E" w:rsidRPr="00B30D56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u</w:t>
      </w:r>
      <w:r w:rsidR="0052160E" w:rsidRPr="00B30D56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675C93F8" w:rsidR="0052160E" w:rsidRPr="00B30D56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opracowanie dokumentacji (z</w:t>
      </w:r>
      <w:r w:rsidR="002E233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5A54DB49" w14:textId="130DCB1D" w:rsidR="00BC6E76" w:rsidRPr="00B30D56" w:rsidRDefault="0052160E" w:rsidP="00251F7B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trike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B30D56">
        <w:rPr>
          <w:rFonts w:ascii="Open Sans" w:hAnsi="Open Sans" w:cs="Open Sans"/>
          <w:bCs/>
          <w:sz w:val="22"/>
          <w:szCs w:val="22"/>
        </w:rPr>
        <w:t xml:space="preserve">(inne niż uwzględnione w kosztach pośrednich) </w:t>
      </w:r>
    </w:p>
    <w:p w14:paraId="046D7071" w14:textId="77777777" w:rsidR="00F34AED" w:rsidRPr="00B30D56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66343DD4" w:rsidR="00100409" w:rsidRPr="00B30D56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pośrednie, o których mowa w Podrozdziale 3.12. </w:t>
      </w:r>
      <w:hyperlink r:id="rId9" w:history="1">
        <w:r w:rsidRPr="00B30D56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="00317CF8" w:rsidRPr="00B30D56">
        <w:rPr>
          <w:rFonts w:ascii="Open Sans" w:hAnsi="Open Sans" w:cs="Open Sans"/>
          <w:bCs/>
          <w:sz w:val="22"/>
          <w:szCs w:val="22"/>
        </w:rPr>
        <w:t>6 </w:t>
      </w:r>
      <w:r w:rsidR="00100409" w:rsidRPr="00B30D56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B30D56">
        <w:t xml:space="preserve"> </w:t>
      </w:r>
      <w:r w:rsidR="007874E3" w:rsidRPr="00B30D56">
        <w:rPr>
          <w:rFonts w:ascii="Open Sans" w:hAnsi="Open Sans" w:cs="Open Sans"/>
          <w:bCs/>
          <w:sz w:val="22"/>
          <w:szCs w:val="22"/>
        </w:rPr>
        <w:t>FENX.01.05-IW.01-</w:t>
      </w:r>
      <w:r w:rsidR="002A33CA" w:rsidRPr="00B30D56">
        <w:rPr>
          <w:rFonts w:ascii="Open Sans" w:hAnsi="Open Sans" w:cs="Open Sans"/>
          <w:bCs/>
          <w:sz w:val="22"/>
          <w:szCs w:val="22"/>
        </w:rPr>
        <w:t>0</w:t>
      </w:r>
      <w:r w:rsidR="002A33CA">
        <w:rPr>
          <w:rFonts w:ascii="Open Sans" w:hAnsi="Open Sans" w:cs="Open Sans"/>
          <w:bCs/>
          <w:sz w:val="22"/>
          <w:szCs w:val="22"/>
        </w:rPr>
        <w:t>14</w:t>
      </w:r>
      <w:r w:rsidR="007874E3" w:rsidRPr="00B30D56">
        <w:rPr>
          <w:rFonts w:ascii="Open Sans" w:hAnsi="Open Sans" w:cs="Open Sans"/>
          <w:bCs/>
          <w:sz w:val="22"/>
          <w:szCs w:val="22"/>
        </w:rPr>
        <w:t>/</w:t>
      </w:r>
      <w:r w:rsidR="00317CF8" w:rsidRPr="00B30D56">
        <w:rPr>
          <w:rFonts w:ascii="Open Sans" w:hAnsi="Open Sans" w:cs="Open Sans"/>
          <w:bCs/>
          <w:sz w:val="22"/>
          <w:szCs w:val="22"/>
        </w:rPr>
        <w:t>24</w:t>
      </w:r>
      <w:r w:rsidR="007874E3" w:rsidRPr="00B30D56">
        <w:rPr>
          <w:rFonts w:ascii="Open Sans" w:hAnsi="Open Sans" w:cs="Open Sans"/>
          <w:bCs/>
          <w:sz w:val="22"/>
          <w:szCs w:val="22"/>
        </w:rPr>
        <w:t>.</w:t>
      </w:r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B30D56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B30D56">
        <w:rPr>
          <w:rFonts w:ascii="Open Sans" w:hAnsi="Open Sans" w:cs="Open Sans"/>
          <w:sz w:val="22"/>
          <w:szCs w:val="22"/>
        </w:rPr>
        <w:t> </w:t>
      </w:r>
      <w:r w:rsidRPr="00B30D56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B30D56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B30D56">
        <w:rPr>
          <w:rFonts w:ascii="Open Sans" w:hAnsi="Open Sans" w:cs="Open Sans"/>
          <w:sz w:val="22"/>
          <w:szCs w:val="22"/>
        </w:rPr>
        <w:t>kwalifikowalne</w:t>
      </w:r>
      <w:r w:rsidR="00DF055F" w:rsidRPr="00B30D56">
        <w:rPr>
          <w:rFonts w:ascii="Open Sans" w:hAnsi="Open Sans" w:cs="Open Sans"/>
          <w:sz w:val="22"/>
          <w:szCs w:val="22"/>
        </w:rPr>
        <w:t xml:space="preserve"> m.in.:</w:t>
      </w:r>
    </w:p>
    <w:p w14:paraId="7BF5E93E" w14:textId="40048A3E" w:rsidR="001726B0" w:rsidRPr="00B30D56" w:rsidRDefault="000D4F86" w:rsidP="00251F7B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B30D56">
        <w:rPr>
          <w:rFonts w:ascii="Open Sans" w:hAnsi="Open Sans" w:cs="Open Sans"/>
          <w:sz w:val="22"/>
          <w:szCs w:val="22"/>
        </w:rPr>
        <w:t>środki transport</w:t>
      </w:r>
      <w:r w:rsidR="00251F7B" w:rsidRPr="00B30D56">
        <w:rPr>
          <w:rFonts w:ascii="Open Sans" w:hAnsi="Open Sans" w:cs="Open Sans"/>
          <w:sz w:val="22"/>
          <w:szCs w:val="22"/>
        </w:rPr>
        <w:t>u;</w:t>
      </w:r>
    </w:p>
    <w:p w14:paraId="486AA5D5" w14:textId="76E9549F" w:rsidR="006D6210" w:rsidRPr="00B30D56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B30D56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B30D56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344C153F" w:rsidR="00A511CE" w:rsidRPr="00B30D56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amortyzacja 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(z wyjątkiem amortyzacji wskazanej w załączniku nr </w:t>
      </w:r>
      <w:r w:rsidR="00F33ACE" w:rsidRPr="00B30D56">
        <w:rPr>
          <w:rFonts w:ascii="Open Sans" w:hAnsi="Open Sans" w:cs="Open Sans"/>
          <w:bCs/>
          <w:sz w:val="22"/>
          <w:szCs w:val="22"/>
        </w:rPr>
        <w:t>6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 – katalog kosztów pośrednich) </w:t>
      </w:r>
      <w:r w:rsidRPr="00B30D56">
        <w:rPr>
          <w:rFonts w:ascii="Open Sans" w:hAnsi="Open Sans" w:cs="Open Sans"/>
          <w:bCs/>
          <w:sz w:val="22"/>
          <w:szCs w:val="22"/>
        </w:rPr>
        <w:t>i leasing środków trwałych oraz wartości niematerialnych i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prawnych</w:t>
      </w:r>
      <w:bookmarkEnd w:id="0"/>
      <w:r w:rsidR="00251F7B" w:rsidRPr="00B30D56">
        <w:rPr>
          <w:rFonts w:ascii="Open Sans" w:hAnsi="Open Sans" w:cs="Open Sans"/>
          <w:bCs/>
          <w:sz w:val="22"/>
          <w:szCs w:val="22"/>
        </w:rPr>
        <w:t>.</w:t>
      </w:r>
    </w:p>
    <w:p w14:paraId="43FA6D2F" w14:textId="7D34DE2E" w:rsidR="00110E12" w:rsidRPr="001C7EF6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B30D56">
        <w:rPr>
          <w:rFonts w:ascii="Open Sans" w:hAnsi="Open Sans" w:cs="Open Sans"/>
          <w:sz w:val="22"/>
          <w:szCs w:val="22"/>
        </w:rPr>
        <w:t>VI.</w:t>
      </w:r>
      <w:r w:rsidR="007874E3" w:rsidRPr="00B30D56">
        <w:rPr>
          <w:rFonts w:ascii="Open Sans" w:hAnsi="Open Sans" w:cs="Open Sans"/>
          <w:sz w:val="22"/>
          <w:szCs w:val="22"/>
        </w:rPr>
        <w:tab/>
      </w:r>
      <w:r w:rsidR="00125078" w:rsidRPr="00B30D56">
        <w:rPr>
          <w:rFonts w:ascii="Open Sans" w:hAnsi="Open Sans" w:cs="Open Sans"/>
          <w:sz w:val="22"/>
          <w:szCs w:val="22"/>
        </w:rPr>
        <w:t>Dodatkowo, w</w:t>
      </w:r>
      <w:r w:rsidR="00A511CE" w:rsidRPr="00B30D56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B30D56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B30D56">
        <w:rPr>
          <w:rFonts w:ascii="Open Sans" w:hAnsi="Open Sans" w:cs="Open Sans"/>
          <w:sz w:val="22"/>
          <w:szCs w:val="22"/>
        </w:rPr>
        <w:t xml:space="preserve">, </w:t>
      </w:r>
      <w:r w:rsidR="00A511CE" w:rsidRPr="00B30D56">
        <w:rPr>
          <w:rFonts w:ascii="Open Sans" w:hAnsi="Open Sans" w:cs="Open Sans"/>
          <w:sz w:val="22"/>
          <w:szCs w:val="22"/>
        </w:rPr>
        <w:t>art. 7 ust. 1 i 5 rozporządzenia EFRR i FS oraz</w:t>
      </w:r>
      <w:r w:rsidR="0052160E" w:rsidRPr="00B30D56">
        <w:rPr>
          <w:rFonts w:ascii="Open Sans" w:hAnsi="Open Sans" w:cs="Open Sans"/>
          <w:sz w:val="22"/>
          <w:szCs w:val="22"/>
        </w:rPr>
        <w:t xml:space="preserve"> </w:t>
      </w:r>
      <w:r w:rsidR="0052160E" w:rsidRPr="00B30D56">
        <w:rPr>
          <w:rFonts w:ascii="Open Sans" w:hAnsi="Open Sans" w:cs="Open Sans"/>
          <w:sz w:val="22"/>
          <w:szCs w:val="22"/>
        </w:rPr>
        <w:lastRenderedPageBreak/>
        <w:t xml:space="preserve">podrozdziale 2.3. Wydatki niekwalifikowalne </w:t>
      </w:r>
      <w:hyperlink r:id="rId10" w:history="1">
        <w:r w:rsidR="0052160E" w:rsidRPr="00B30D56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B30D56">
        <w:rPr>
          <w:rFonts w:ascii="Open Sans" w:hAnsi="Open Sans" w:cs="Open Sans"/>
          <w:sz w:val="22"/>
          <w:szCs w:val="22"/>
        </w:rPr>
        <w:t>.</w:t>
      </w:r>
    </w:p>
    <w:sectPr w:rsidR="00110E12" w:rsidRPr="001C7EF6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 Semibold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C72ED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CBC84A1A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48C"/>
    <w:rsid w:val="00021588"/>
    <w:rsid w:val="000216E0"/>
    <w:rsid w:val="00024544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53306"/>
    <w:rsid w:val="00163C1D"/>
    <w:rsid w:val="00163F39"/>
    <w:rsid w:val="001668BF"/>
    <w:rsid w:val="001724FB"/>
    <w:rsid w:val="001726B0"/>
    <w:rsid w:val="001756E8"/>
    <w:rsid w:val="00181910"/>
    <w:rsid w:val="001A164F"/>
    <w:rsid w:val="001C7EF6"/>
    <w:rsid w:val="001D6EC4"/>
    <w:rsid w:val="001F1DCB"/>
    <w:rsid w:val="00204174"/>
    <w:rsid w:val="0021751B"/>
    <w:rsid w:val="00221C08"/>
    <w:rsid w:val="002229BB"/>
    <w:rsid w:val="002469D2"/>
    <w:rsid w:val="00251F7B"/>
    <w:rsid w:val="00252CCB"/>
    <w:rsid w:val="002621E1"/>
    <w:rsid w:val="00263CAE"/>
    <w:rsid w:val="0026656D"/>
    <w:rsid w:val="002735BD"/>
    <w:rsid w:val="00275FCB"/>
    <w:rsid w:val="002764E9"/>
    <w:rsid w:val="002A33CA"/>
    <w:rsid w:val="002A6ED0"/>
    <w:rsid w:val="002B2B8F"/>
    <w:rsid w:val="002B3E88"/>
    <w:rsid w:val="002B5B4D"/>
    <w:rsid w:val="002C54BE"/>
    <w:rsid w:val="002C6A44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92D46"/>
    <w:rsid w:val="003A2536"/>
    <w:rsid w:val="003B05B3"/>
    <w:rsid w:val="003B2263"/>
    <w:rsid w:val="003B5428"/>
    <w:rsid w:val="003B5F58"/>
    <w:rsid w:val="003C2181"/>
    <w:rsid w:val="003C467C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2BAE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2695B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E3631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D4FA0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AF09C7"/>
    <w:rsid w:val="00AF4108"/>
    <w:rsid w:val="00B02E6B"/>
    <w:rsid w:val="00B04A2C"/>
    <w:rsid w:val="00B053E6"/>
    <w:rsid w:val="00B07B2B"/>
    <w:rsid w:val="00B1262C"/>
    <w:rsid w:val="00B22EFB"/>
    <w:rsid w:val="00B30D56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E4EBC"/>
    <w:rsid w:val="00BF05AE"/>
    <w:rsid w:val="00BF6887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7352D"/>
    <w:rsid w:val="00E81AB5"/>
    <w:rsid w:val="00EB183E"/>
    <w:rsid w:val="00ED644E"/>
    <w:rsid w:val="00ED7A6F"/>
    <w:rsid w:val="00EF56AB"/>
    <w:rsid w:val="00F00440"/>
    <w:rsid w:val="00F036B1"/>
    <w:rsid w:val="00F1544F"/>
    <w:rsid w:val="00F23B9A"/>
    <w:rsid w:val="00F3022F"/>
    <w:rsid w:val="00F311CE"/>
    <w:rsid w:val="00F33ACE"/>
    <w:rsid w:val="00F34AED"/>
    <w:rsid w:val="00F4745C"/>
    <w:rsid w:val="00F608A0"/>
    <w:rsid w:val="00F64EFE"/>
    <w:rsid w:val="00F704B1"/>
    <w:rsid w:val="00F7347F"/>
    <w:rsid w:val="00F81B54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0703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9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F0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209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1875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Borowy Anna</cp:lastModifiedBy>
  <cp:revision>4</cp:revision>
  <cp:lastPrinted>2013-01-29T13:37:00Z</cp:lastPrinted>
  <dcterms:created xsi:type="dcterms:W3CDTF">2024-10-08T12:20:00Z</dcterms:created>
  <dcterms:modified xsi:type="dcterms:W3CDTF">2024-11-04T10:40:00Z</dcterms:modified>
</cp:coreProperties>
</file>